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880" w:type="dxa"/>
        <w:tblInd w:w="-1062" w:type="dxa"/>
        <w:tblLook w:val="04A0"/>
      </w:tblPr>
      <w:tblGrid>
        <w:gridCol w:w="1620"/>
        <w:gridCol w:w="1980"/>
        <w:gridCol w:w="5490"/>
        <w:gridCol w:w="2790"/>
      </w:tblGrid>
      <w:tr w:rsidR="005E38BE" w:rsidTr="006D37AF">
        <w:tc>
          <w:tcPr>
            <w:tcW w:w="1620" w:type="dxa"/>
            <w:tcBorders>
              <w:bottom w:val="single" w:sz="4" w:space="0" w:color="auto"/>
            </w:tcBorders>
          </w:tcPr>
          <w:p w:rsidR="005E38BE" w:rsidRPr="00CF5676" w:rsidRDefault="006D37AF" w:rsidP="006D3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 MUTCD Section Number(s)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E38BE" w:rsidRPr="00CF5676" w:rsidRDefault="005E38BE" w:rsidP="005E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38BE" w:rsidRPr="00CF5676" w:rsidRDefault="005E38BE" w:rsidP="005E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676">
              <w:rPr>
                <w:rFonts w:ascii="Arial" w:hAnsi="Arial" w:cs="Arial"/>
                <w:sz w:val="18"/>
                <w:szCs w:val="18"/>
              </w:rPr>
              <w:t>2009 MUTCD Section Title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5E38BE" w:rsidRPr="00CF5676" w:rsidRDefault="005E38BE" w:rsidP="005E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38BE" w:rsidRPr="00CF5676" w:rsidRDefault="005E38BE" w:rsidP="005E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676">
              <w:rPr>
                <w:rFonts w:ascii="Arial" w:hAnsi="Arial" w:cs="Arial"/>
                <w:sz w:val="18"/>
                <w:szCs w:val="18"/>
              </w:rPr>
              <w:t>Specific Provision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5E38BE" w:rsidRPr="00CF5676" w:rsidRDefault="005E38BE">
            <w:pPr>
              <w:rPr>
                <w:rFonts w:ascii="Arial" w:hAnsi="Arial" w:cs="Arial"/>
                <w:sz w:val="18"/>
                <w:szCs w:val="18"/>
              </w:rPr>
            </w:pPr>
          </w:p>
          <w:p w:rsidR="005E38BE" w:rsidRPr="00CF5676" w:rsidRDefault="005E38BE" w:rsidP="005E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676">
              <w:rPr>
                <w:rFonts w:ascii="Arial" w:hAnsi="Arial" w:cs="Arial"/>
                <w:sz w:val="18"/>
                <w:szCs w:val="18"/>
              </w:rPr>
              <w:t>Compliance Date</w:t>
            </w:r>
          </w:p>
        </w:tc>
      </w:tr>
      <w:tr w:rsidR="005E38BE" w:rsidTr="006D37AF">
        <w:tc>
          <w:tcPr>
            <w:tcW w:w="1620" w:type="dxa"/>
            <w:shd w:val="clear" w:color="auto" w:fill="D9D9D9" w:themeFill="background1" w:themeFillShade="D9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</w:p>
          <w:p w:rsidR="006C578D" w:rsidRPr="00CF5676" w:rsidRDefault="00161BEC" w:rsidP="00161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2A.08</w:t>
            </w:r>
          </w:p>
          <w:p w:rsidR="006C578D" w:rsidRPr="00CF5676" w:rsidRDefault="006C57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161BEC" w:rsidRPr="00CF5676" w:rsidRDefault="00161BEC" w:rsidP="00161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 xml:space="preserve">Maintaining Minimum </w:t>
            </w:r>
            <w:r w:rsidR="0090286B" w:rsidRPr="00CF5676">
              <w:rPr>
                <w:rFonts w:ascii="Arial" w:hAnsi="Arial" w:cs="Arial"/>
                <w:sz w:val="16"/>
                <w:szCs w:val="16"/>
              </w:rPr>
              <w:t>Retro reflectivity</w:t>
            </w:r>
          </w:p>
          <w:p w:rsidR="00161BEC" w:rsidRPr="00CF5676" w:rsidRDefault="00161BEC" w:rsidP="00161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</w:tcPr>
          <w:p w:rsidR="008B7F4E" w:rsidRPr="00CF5676" w:rsidRDefault="008B7F4E" w:rsidP="00161BEC">
            <w:pPr>
              <w:rPr>
                <w:rFonts w:ascii="Arial" w:hAnsi="Arial" w:cs="Arial"/>
                <w:sz w:val="16"/>
                <w:szCs w:val="16"/>
              </w:rPr>
            </w:pPr>
          </w:p>
          <w:p w:rsidR="005E38BE" w:rsidRPr="00CF5676" w:rsidRDefault="00161BEC" w:rsidP="00161BEC">
            <w:pPr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 xml:space="preserve">Implementation and continued use of an assessment or management method that is designed to maintain regulatory and warning sign </w:t>
            </w:r>
            <w:r w:rsidR="0090286B" w:rsidRPr="00CF5676">
              <w:rPr>
                <w:rFonts w:ascii="Arial" w:hAnsi="Arial" w:cs="Arial"/>
                <w:sz w:val="16"/>
                <w:szCs w:val="16"/>
              </w:rPr>
              <w:t>retro reflectivity</w:t>
            </w:r>
            <w:r w:rsidRPr="00CF5676">
              <w:rPr>
                <w:rFonts w:ascii="Arial" w:hAnsi="Arial" w:cs="Arial"/>
                <w:sz w:val="16"/>
                <w:szCs w:val="16"/>
              </w:rPr>
              <w:t xml:space="preserve"> at or above the established minimum levels  (see Paragraph 2)</w:t>
            </w:r>
          </w:p>
          <w:p w:rsidR="00161BEC" w:rsidRPr="00CF5676" w:rsidRDefault="00161BEC" w:rsidP="00161B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8B7F4E" w:rsidRPr="00CF5676" w:rsidRDefault="008B7F4E" w:rsidP="008B7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2 years from the effective date of this revision of the 2009 MUTCD*</w:t>
            </w:r>
          </w:p>
        </w:tc>
      </w:tr>
      <w:bookmarkEnd w:id="0"/>
      <w:tr w:rsidR="005E38BE" w:rsidTr="006D37AF">
        <w:tc>
          <w:tcPr>
            <w:tcW w:w="162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6C578D" w:rsidRPr="00CF5676" w:rsidRDefault="008B7F4E" w:rsidP="008B7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2A.19</w:t>
            </w:r>
          </w:p>
          <w:p w:rsidR="006C578D" w:rsidRPr="00CF5676" w:rsidRDefault="006C57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5E38BE" w:rsidRPr="00CF5676" w:rsidRDefault="005E38BE" w:rsidP="008B7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7F4E" w:rsidRPr="00CF5676" w:rsidRDefault="008B7F4E" w:rsidP="008B7F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Lateral Offset</w:t>
            </w:r>
          </w:p>
        </w:tc>
        <w:tc>
          <w:tcPr>
            <w:tcW w:w="549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8B7F4E" w:rsidRPr="00CF5676" w:rsidRDefault="008B7F4E">
            <w:pPr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Crashworthiness of sign supports on roads with posted speed limit of 50 mph or higher (see Paragraph 2)</w:t>
            </w:r>
          </w:p>
          <w:p w:rsidR="008B7F4E" w:rsidRPr="00CF5676" w:rsidRDefault="008B7F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950A41" w:rsidRPr="00CF5676" w:rsidRDefault="00950A41" w:rsidP="00950A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January 17, 2013 (date established in the 2000 MUTCD)</w:t>
            </w:r>
          </w:p>
        </w:tc>
      </w:tr>
      <w:tr w:rsidR="005E38BE" w:rsidTr="006D37AF">
        <w:tc>
          <w:tcPr>
            <w:tcW w:w="162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6C578D" w:rsidRPr="00CF5676" w:rsidRDefault="0062449A" w:rsidP="00624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2B.40</w:t>
            </w:r>
          </w:p>
          <w:p w:rsidR="006C578D" w:rsidRPr="00CF5676" w:rsidRDefault="006C57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62449A" w:rsidRPr="00CF5676" w:rsidRDefault="0062449A" w:rsidP="00624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449A" w:rsidRPr="00CF5676" w:rsidRDefault="0062449A" w:rsidP="00624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 xml:space="preserve">ONE WAY signs </w:t>
            </w:r>
          </w:p>
          <w:p w:rsidR="005E38BE" w:rsidRPr="00CF5676" w:rsidRDefault="0062449A" w:rsidP="00624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(R6-1, R6-2)</w:t>
            </w:r>
          </w:p>
          <w:p w:rsidR="0062449A" w:rsidRPr="00CF5676" w:rsidRDefault="0062449A" w:rsidP="00624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62449A" w:rsidRPr="00CF5676" w:rsidRDefault="0062449A">
            <w:pPr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New requirements in the 2009 MUTCD for the number and locations of ONE WAY signs (see Paragraphs  4, 9, and 10)</w:t>
            </w:r>
          </w:p>
          <w:p w:rsidR="0062449A" w:rsidRPr="00CF5676" w:rsidRDefault="006244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5E38BE" w:rsidRPr="00CF5676" w:rsidRDefault="005E38BE" w:rsidP="008A04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0447" w:rsidRPr="00CF5676" w:rsidRDefault="008A0447" w:rsidP="008A04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December 31, 2019</w:t>
            </w:r>
          </w:p>
        </w:tc>
      </w:tr>
      <w:tr w:rsidR="005E38BE" w:rsidTr="006D37AF">
        <w:tc>
          <w:tcPr>
            <w:tcW w:w="162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340" w:rsidRPr="00CF5676" w:rsidRDefault="00B27340" w:rsidP="00B27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2C.06 through 2C.14</w:t>
            </w:r>
          </w:p>
          <w:p w:rsidR="006C578D" w:rsidRPr="00CF5676" w:rsidRDefault="006C578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578D" w:rsidRPr="00CF5676" w:rsidRDefault="006C57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340" w:rsidRPr="00CF5676" w:rsidRDefault="00B27340" w:rsidP="00B27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Horizontal Alignment Warning Signs</w:t>
            </w:r>
          </w:p>
        </w:tc>
        <w:tc>
          <w:tcPr>
            <w:tcW w:w="549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340" w:rsidRPr="00CF5676" w:rsidRDefault="00B27340">
            <w:pPr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Revised requirements in the 2009 MUTCD regarding the use of various horizontal alignment signs (see table 2C-5)</w:t>
            </w:r>
          </w:p>
        </w:tc>
        <w:tc>
          <w:tcPr>
            <w:tcW w:w="279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340" w:rsidRPr="00CF5676" w:rsidRDefault="00B27340" w:rsidP="00B27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December 31, 2019</w:t>
            </w:r>
          </w:p>
        </w:tc>
      </w:tr>
      <w:tr w:rsidR="005E38BE" w:rsidTr="006D37AF">
        <w:tc>
          <w:tcPr>
            <w:tcW w:w="162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6C578D" w:rsidRPr="00CF5676" w:rsidRDefault="00C162C2" w:rsidP="00C16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2E, 31, 2E, 33, and 2E, 36</w:t>
            </w:r>
          </w:p>
          <w:p w:rsidR="006C578D" w:rsidRPr="00CF5676" w:rsidRDefault="006C57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C162C2" w:rsidRPr="00CF5676" w:rsidRDefault="00C162C2" w:rsidP="00C16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Plagues for Left-Hand Exits</w:t>
            </w:r>
          </w:p>
        </w:tc>
        <w:tc>
          <w:tcPr>
            <w:tcW w:w="549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C162C2" w:rsidRPr="00CF5676" w:rsidRDefault="00C162C2">
            <w:pPr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New requirement in the 2009 MUTCD to use E1-5aP and E1-5bP plagues  for left-hand exists</w:t>
            </w:r>
          </w:p>
        </w:tc>
        <w:tc>
          <w:tcPr>
            <w:tcW w:w="279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C162C2" w:rsidRPr="00CF5676" w:rsidRDefault="00C162C2" w:rsidP="00C16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December 31, 2014</w:t>
            </w:r>
          </w:p>
        </w:tc>
      </w:tr>
      <w:tr w:rsidR="005E38BE" w:rsidTr="006D37AF">
        <w:tc>
          <w:tcPr>
            <w:tcW w:w="162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6C578D" w:rsidRPr="00CF5676" w:rsidRDefault="00EE5DD2" w:rsidP="00EE5D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4D, 26</w:t>
            </w:r>
          </w:p>
          <w:p w:rsidR="006C578D" w:rsidRPr="00CF5676" w:rsidRDefault="006C57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EE5DD2" w:rsidRPr="00CF5676" w:rsidRDefault="00EE5DD2" w:rsidP="00EE5D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Yellow Change and Red Clearance Intervals</w:t>
            </w:r>
          </w:p>
          <w:p w:rsidR="00EE5DD2" w:rsidRPr="00CF5676" w:rsidRDefault="00EE5DD2" w:rsidP="00EE5D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EE5DD2" w:rsidRPr="00CF5676" w:rsidRDefault="00EE5DD2">
            <w:pPr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New requirement in the 2009 MUTCD that durations of yellow change and red clearance intervals shall be determined using engineering practices (see Paragraphs 3 and 6)</w:t>
            </w:r>
          </w:p>
          <w:p w:rsidR="00EE5DD2" w:rsidRPr="00CF5676" w:rsidRDefault="00EE5D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EE5DD2" w:rsidRPr="00CF5676" w:rsidRDefault="00EE5DD2" w:rsidP="00EE5D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5 years from the effective date of this revision of the 2009 MUTCD, or when timing adjustments are made to the individual intersection and/or corridor, whichever occurs first</w:t>
            </w:r>
          </w:p>
          <w:p w:rsidR="00B52FE9" w:rsidRPr="00CF5676" w:rsidRDefault="00B52FE9" w:rsidP="00EE5D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8BE" w:rsidTr="006D37AF">
        <w:tc>
          <w:tcPr>
            <w:tcW w:w="162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D36807" w:rsidRPr="00CF5676" w:rsidRDefault="00D36807" w:rsidP="00D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4E, 06</w:t>
            </w:r>
          </w:p>
          <w:p w:rsidR="006C578D" w:rsidRPr="00CF5676" w:rsidRDefault="006C578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578D" w:rsidRPr="00CF5676" w:rsidRDefault="006C57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D36807" w:rsidRPr="00CF5676" w:rsidRDefault="00D36807" w:rsidP="00D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Pedestrian Intervals and Signal Phases</w:t>
            </w:r>
          </w:p>
        </w:tc>
        <w:tc>
          <w:tcPr>
            <w:tcW w:w="549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D36807" w:rsidRPr="00CF5676" w:rsidRDefault="00D36807">
            <w:pPr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New requirement in the 2009 MUTCD that the pedestrian change interval shall not extend into the red clearance interval and shall be followed by a buffer interval of at least 3 seconds (see Paragraph 4)</w:t>
            </w:r>
          </w:p>
          <w:p w:rsidR="00D36807" w:rsidRPr="00CF5676" w:rsidRDefault="00D368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</w:tcPr>
          <w:p w:rsidR="00D36807" w:rsidRPr="00CF5676" w:rsidRDefault="00D368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E38BE" w:rsidRPr="00CF5676" w:rsidRDefault="00D36807" w:rsidP="00D368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5 years from the effective date of this revision of the 2009 MUTCD, or when timing adjustment are made to the individual intersection and/or corridor, whichever occurs first</w:t>
            </w:r>
          </w:p>
          <w:p w:rsidR="00D36807" w:rsidRPr="00CF5676" w:rsidRDefault="00D368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38BE" w:rsidRPr="00DA6883" w:rsidTr="006D37AF">
        <w:tc>
          <w:tcPr>
            <w:tcW w:w="162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6C578D" w:rsidRPr="00CF5676" w:rsidRDefault="005F1070" w:rsidP="005F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6D.03**</w:t>
            </w:r>
          </w:p>
          <w:p w:rsidR="006C578D" w:rsidRPr="00CF5676" w:rsidRDefault="006C57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F1070" w:rsidRPr="00CF5676" w:rsidRDefault="005F1070" w:rsidP="005F1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Worker Safety Considerations</w:t>
            </w:r>
          </w:p>
        </w:tc>
        <w:tc>
          <w:tcPr>
            <w:tcW w:w="549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F1070" w:rsidRPr="00CF5676" w:rsidRDefault="005F1070">
            <w:pPr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New requirement in the 2009 MUTCD that all workers within the right-of-way shall wear high-visibility apparel (see Paragraphs  4, 6, and 7)</w:t>
            </w:r>
          </w:p>
        </w:tc>
        <w:tc>
          <w:tcPr>
            <w:tcW w:w="2790" w:type="dxa"/>
          </w:tcPr>
          <w:p w:rsidR="005E38BE" w:rsidRPr="00CF5676" w:rsidRDefault="005E38BE" w:rsidP="00A25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5FC1" w:rsidRPr="00CF5676" w:rsidRDefault="00A25FC1" w:rsidP="00A25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December 31, 2011</w:t>
            </w:r>
          </w:p>
        </w:tc>
      </w:tr>
      <w:tr w:rsidR="005E38BE" w:rsidTr="006D37AF">
        <w:tc>
          <w:tcPr>
            <w:tcW w:w="162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DA6883" w:rsidRPr="00CF5676" w:rsidRDefault="00DA6883" w:rsidP="00DA6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6E.02**</w:t>
            </w:r>
          </w:p>
          <w:p w:rsidR="006C578D" w:rsidRPr="00CF5676" w:rsidRDefault="006C578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578D" w:rsidRPr="00CF5676" w:rsidRDefault="006C57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5E38BE" w:rsidRPr="00CF5676" w:rsidRDefault="005E38BE" w:rsidP="00DA6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6883" w:rsidRPr="00CF5676" w:rsidRDefault="00DA6883" w:rsidP="00DA6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High-Visibility Safety Apparel</w:t>
            </w:r>
          </w:p>
        </w:tc>
        <w:tc>
          <w:tcPr>
            <w:tcW w:w="549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DA6883" w:rsidRPr="00CF5676" w:rsidRDefault="00DA6883">
            <w:pPr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New requirement in the 2009 MUTCD that all flaggers within the right-of-way shall wear high-visibility apparel</w:t>
            </w:r>
          </w:p>
        </w:tc>
        <w:tc>
          <w:tcPr>
            <w:tcW w:w="279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DA6883" w:rsidRPr="00CF5676" w:rsidRDefault="00DA6883" w:rsidP="00DA6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December 31, 2011</w:t>
            </w:r>
          </w:p>
        </w:tc>
      </w:tr>
      <w:tr w:rsidR="005E38BE" w:rsidTr="006D37AF">
        <w:tc>
          <w:tcPr>
            <w:tcW w:w="162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6C578D" w:rsidRPr="00CF5676" w:rsidRDefault="000D2C39" w:rsidP="000D2C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7D.04**</w:t>
            </w:r>
          </w:p>
          <w:p w:rsidR="006C578D" w:rsidRPr="00CF5676" w:rsidRDefault="006C57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5E38BE" w:rsidRPr="00CF5676" w:rsidRDefault="005E38BE" w:rsidP="000D2C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2C39" w:rsidRPr="00CF5676" w:rsidRDefault="000D2C39" w:rsidP="000D2C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Uniform of Adult Crossing Guards</w:t>
            </w:r>
          </w:p>
          <w:p w:rsidR="000D2C39" w:rsidRPr="00CF5676" w:rsidRDefault="000D2C39" w:rsidP="000D2C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39" w:rsidRPr="00CF5676" w:rsidRDefault="000D2C39">
            <w:pPr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New requirement in the 2009 MUTCD for high-visibility apparel for adult crossing guards</w:t>
            </w:r>
          </w:p>
        </w:tc>
        <w:tc>
          <w:tcPr>
            <w:tcW w:w="2790" w:type="dxa"/>
          </w:tcPr>
          <w:p w:rsidR="005E38BE" w:rsidRPr="00CF5676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0D2C39" w:rsidRPr="00CF5676" w:rsidRDefault="000D2C39" w:rsidP="000D2C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December 31, 2011</w:t>
            </w:r>
          </w:p>
        </w:tc>
      </w:tr>
      <w:tr w:rsidR="005E38BE" w:rsidTr="006D37AF">
        <w:tc>
          <w:tcPr>
            <w:tcW w:w="1620" w:type="dxa"/>
          </w:tcPr>
          <w:p w:rsidR="005E38BE" w:rsidRPr="00CF5676" w:rsidRDefault="005E38BE" w:rsidP="00CF5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5676" w:rsidRPr="00CF5676" w:rsidRDefault="00CF5676" w:rsidP="00CF5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5676">
              <w:rPr>
                <w:rFonts w:ascii="Arial" w:hAnsi="Arial" w:cs="Arial"/>
                <w:sz w:val="16"/>
                <w:szCs w:val="16"/>
              </w:rPr>
              <w:t>8B, 03, 8B, 04</w:t>
            </w:r>
          </w:p>
          <w:p w:rsidR="00CF5676" w:rsidRPr="00CF5676" w:rsidRDefault="00CF5676" w:rsidP="00CF5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578D" w:rsidRPr="00CF5676" w:rsidRDefault="006C578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578D" w:rsidRPr="00CF5676" w:rsidRDefault="006C57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5E38BE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CF5676" w:rsidRPr="00CF5676" w:rsidRDefault="00CF5676" w:rsidP="00CF5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Grade Crossing (Crossbuck) Signs and Supports</w:t>
            </w:r>
          </w:p>
        </w:tc>
        <w:tc>
          <w:tcPr>
            <w:tcW w:w="5490" w:type="dxa"/>
          </w:tcPr>
          <w:p w:rsidR="005E38BE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CF5676" w:rsidRPr="00CF5676" w:rsidRDefault="009028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Retro reflective</w:t>
            </w:r>
            <w:r w:rsidR="00CF5676">
              <w:rPr>
                <w:rFonts w:ascii="Arial" w:hAnsi="Arial" w:cs="Arial"/>
                <w:sz w:val="16"/>
                <w:szCs w:val="16"/>
              </w:rPr>
              <w:t xml:space="preserve"> strip on Crossbuck sign and support (see Paragraph 7 in Section 8B.03 and Paragraphs 15 and 18 in Section 8B-04)</w:t>
            </w:r>
          </w:p>
        </w:tc>
        <w:tc>
          <w:tcPr>
            <w:tcW w:w="2790" w:type="dxa"/>
          </w:tcPr>
          <w:p w:rsidR="005E38BE" w:rsidRDefault="005E38BE">
            <w:pPr>
              <w:rPr>
                <w:rFonts w:ascii="Arial" w:hAnsi="Arial" w:cs="Arial"/>
                <w:sz w:val="16"/>
                <w:szCs w:val="16"/>
              </w:rPr>
            </w:pPr>
          </w:p>
          <w:p w:rsidR="00CF5676" w:rsidRPr="00CF5676" w:rsidRDefault="00CF5676" w:rsidP="00CF5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December 31, 2019</w:t>
            </w:r>
          </w:p>
        </w:tc>
      </w:tr>
      <w:tr w:rsidR="005E38BE" w:rsidTr="006D37AF">
        <w:tc>
          <w:tcPr>
            <w:tcW w:w="1620" w:type="dxa"/>
          </w:tcPr>
          <w:p w:rsidR="005E38BE" w:rsidRPr="00DA6883" w:rsidRDefault="005E38BE">
            <w:pPr>
              <w:rPr>
                <w:rFonts w:ascii="Arial" w:hAnsi="Arial" w:cs="Arial"/>
              </w:rPr>
            </w:pPr>
          </w:p>
          <w:p w:rsidR="006C578D" w:rsidRPr="00257A35" w:rsidRDefault="00257A35" w:rsidP="00257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8B.04</w:t>
            </w:r>
          </w:p>
          <w:p w:rsidR="006C578D" w:rsidRPr="00DA6883" w:rsidRDefault="006C578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257A35" w:rsidRPr="00257A35" w:rsidRDefault="00257A35" w:rsidP="00257A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Crossbuck Assemblies with YIELD or STOP Signs at Passive Grade Crossings</w:t>
            </w:r>
          </w:p>
        </w:tc>
        <w:tc>
          <w:tcPr>
            <w:tcW w:w="5490" w:type="dxa"/>
          </w:tcPr>
          <w:p w:rsidR="005E38BE" w:rsidRDefault="005E38BE">
            <w:pPr>
              <w:rPr>
                <w:rFonts w:ascii="Arial" w:hAnsi="Arial" w:cs="Arial"/>
              </w:rPr>
            </w:pPr>
          </w:p>
          <w:p w:rsidR="00F54D42" w:rsidRPr="00F54D42" w:rsidRDefault="00F54D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requirement in the 2009 MUTCD for the use of STOP or YIELD signs with Crossbuck signs at passive grade crossings</w:t>
            </w:r>
          </w:p>
        </w:tc>
        <w:tc>
          <w:tcPr>
            <w:tcW w:w="2790" w:type="dxa"/>
          </w:tcPr>
          <w:p w:rsidR="005E38BE" w:rsidRDefault="005E38BE">
            <w:pPr>
              <w:rPr>
                <w:rFonts w:ascii="Arial" w:hAnsi="Arial" w:cs="Arial"/>
              </w:rPr>
            </w:pPr>
          </w:p>
          <w:p w:rsidR="00F54D42" w:rsidRPr="00F54D42" w:rsidRDefault="00F54D42" w:rsidP="00F54D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4D42">
              <w:rPr>
                <w:rFonts w:ascii="Arial" w:hAnsi="Arial" w:cs="Arial"/>
                <w:sz w:val="16"/>
                <w:szCs w:val="16"/>
              </w:rPr>
              <w:t>December 31, 2019</w:t>
            </w:r>
          </w:p>
        </w:tc>
      </w:tr>
    </w:tbl>
    <w:p w:rsidR="009D3E74" w:rsidRDefault="009D3E74" w:rsidP="009D3E74">
      <w:pPr>
        <w:pStyle w:val="ListParagraph"/>
        <w:ind w:left="1440"/>
      </w:pPr>
    </w:p>
    <w:p w:rsidR="009D3E74" w:rsidRDefault="009D3E74" w:rsidP="009D3E74">
      <w:pPr>
        <w:pStyle w:val="ListParagraph"/>
        <w:ind w:left="1440"/>
      </w:pPr>
      <w:r>
        <w:t xml:space="preserve">*Types of signs other than </w:t>
      </w:r>
      <w:r w:rsidR="0090286B">
        <w:t>regulatory</w:t>
      </w:r>
      <w:r>
        <w:t xml:space="preserve"> or warning are to be added to an agency’s management or assessment method as resources allow.</w:t>
      </w:r>
    </w:p>
    <w:p w:rsidR="009D3E74" w:rsidRDefault="009D3E74" w:rsidP="009D3E74">
      <w:pPr>
        <w:pStyle w:val="ListParagraph"/>
        <w:ind w:left="1440"/>
      </w:pPr>
      <w:r>
        <w:t>**MUTCD requirement is a result of a legislative mandate.</w:t>
      </w:r>
    </w:p>
    <w:p w:rsidR="009D3E74" w:rsidRDefault="009D3E74" w:rsidP="009D3E74">
      <w:pPr>
        <w:pStyle w:val="ListParagraph"/>
        <w:ind w:left="1440"/>
      </w:pPr>
      <w:r>
        <w:t>Note:  All compliance dates that were previously published in Table I-2 of the 2009 MUTCD and that do not appear in this revised table have been eliminated.</w:t>
      </w:r>
    </w:p>
    <w:sectPr w:rsidR="009D3E74" w:rsidSect="00CF5676">
      <w:headerReference w:type="default" r:id="rId7"/>
      <w:pgSz w:w="12240" w:h="15840" w:code="1"/>
      <w:pgMar w:top="576" w:right="1267" w:bottom="576" w:left="135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D9" w:rsidRDefault="009A63D9" w:rsidP="006D37AF">
      <w:pPr>
        <w:spacing w:after="0" w:line="240" w:lineRule="auto"/>
      </w:pPr>
      <w:r>
        <w:separator/>
      </w:r>
    </w:p>
  </w:endnote>
  <w:endnote w:type="continuationSeparator" w:id="0">
    <w:p w:rsidR="009A63D9" w:rsidRDefault="009A63D9" w:rsidP="006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D9" w:rsidRDefault="009A63D9" w:rsidP="006D37AF">
      <w:pPr>
        <w:spacing w:after="0" w:line="240" w:lineRule="auto"/>
      </w:pPr>
      <w:r>
        <w:separator/>
      </w:r>
    </w:p>
  </w:footnote>
  <w:footnote w:type="continuationSeparator" w:id="0">
    <w:p w:rsidR="009A63D9" w:rsidRDefault="009A63D9" w:rsidP="006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AF" w:rsidRPr="006D37AF" w:rsidRDefault="006D37AF" w:rsidP="006D37AF">
    <w:pPr>
      <w:pStyle w:val="Header"/>
      <w:jc w:val="center"/>
      <w:rPr>
        <w:b/>
        <w:sz w:val="24"/>
        <w:szCs w:val="24"/>
      </w:rPr>
    </w:pPr>
    <w:r w:rsidRPr="006D37AF">
      <w:rPr>
        <w:b/>
        <w:sz w:val="24"/>
        <w:szCs w:val="24"/>
      </w:rPr>
      <w:t>Table I-2. Target Compliance Dates Established by the FHWA</w:t>
    </w:r>
  </w:p>
  <w:p w:rsidR="006D37AF" w:rsidRDefault="006D37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6F80"/>
    <w:multiLevelType w:val="hybridMultilevel"/>
    <w:tmpl w:val="ECB214A8"/>
    <w:lvl w:ilvl="0" w:tplc="17A8E44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592513"/>
    <w:multiLevelType w:val="hybridMultilevel"/>
    <w:tmpl w:val="F5E27052"/>
    <w:lvl w:ilvl="0" w:tplc="3F8C71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364FA"/>
    <w:multiLevelType w:val="hybridMultilevel"/>
    <w:tmpl w:val="508CA556"/>
    <w:lvl w:ilvl="0" w:tplc="336AFA7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8BE"/>
    <w:rsid w:val="000174EB"/>
    <w:rsid w:val="00020C00"/>
    <w:rsid w:val="000227B4"/>
    <w:rsid w:val="000458FF"/>
    <w:rsid w:val="000954E7"/>
    <w:rsid w:val="000A5D6E"/>
    <w:rsid w:val="000B6047"/>
    <w:rsid w:val="000C418F"/>
    <w:rsid w:val="000D2C39"/>
    <w:rsid w:val="000E0BDA"/>
    <w:rsid w:val="000F6033"/>
    <w:rsid w:val="00107BBA"/>
    <w:rsid w:val="00120B18"/>
    <w:rsid w:val="00123A32"/>
    <w:rsid w:val="0012443C"/>
    <w:rsid w:val="00161BEC"/>
    <w:rsid w:val="00176A53"/>
    <w:rsid w:val="001B6247"/>
    <w:rsid w:val="001D6FEB"/>
    <w:rsid w:val="001F6C5B"/>
    <w:rsid w:val="00207667"/>
    <w:rsid w:val="00212A3A"/>
    <w:rsid w:val="002264DC"/>
    <w:rsid w:val="00257A35"/>
    <w:rsid w:val="002661A9"/>
    <w:rsid w:val="00285BE7"/>
    <w:rsid w:val="002B3D18"/>
    <w:rsid w:val="00311144"/>
    <w:rsid w:val="003209E4"/>
    <w:rsid w:val="003348E7"/>
    <w:rsid w:val="003559D0"/>
    <w:rsid w:val="00362B57"/>
    <w:rsid w:val="00366B0C"/>
    <w:rsid w:val="00377EDD"/>
    <w:rsid w:val="003967DC"/>
    <w:rsid w:val="003B22BC"/>
    <w:rsid w:val="003E260A"/>
    <w:rsid w:val="00400A7D"/>
    <w:rsid w:val="00437638"/>
    <w:rsid w:val="00451471"/>
    <w:rsid w:val="004575E3"/>
    <w:rsid w:val="004651CE"/>
    <w:rsid w:val="00493516"/>
    <w:rsid w:val="004942CA"/>
    <w:rsid w:val="004B5DA9"/>
    <w:rsid w:val="004C39E4"/>
    <w:rsid w:val="004F5949"/>
    <w:rsid w:val="00505D55"/>
    <w:rsid w:val="005312E2"/>
    <w:rsid w:val="00535A11"/>
    <w:rsid w:val="005B75B0"/>
    <w:rsid w:val="005D1E91"/>
    <w:rsid w:val="005E0507"/>
    <w:rsid w:val="005E1F43"/>
    <w:rsid w:val="005E330E"/>
    <w:rsid w:val="005E38BE"/>
    <w:rsid w:val="005F1070"/>
    <w:rsid w:val="005F6597"/>
    <w:rsid w:val="00610789"/>
    <w:rsid w:val="00620E89"/>
    <w:rsid w:val="0062449A"/>
    <w:rsid w:val="006310FB"/>
    <w:rsid w:val="006423E3"/>
    <w:rsid w:val="006554A1"/>
    <w:rsid w:val="00676DB9"/>
    <w:rsid w:val="00695F18"/>
    <w:rsid w:val="006A2CC4"/>
    <w:rsid w:val="006A688B"/>
    <w:rsid w:val="006B15AB"/>
    <w:rsid w:val="006C578D"/>
    <w:rsid w:val="006D37AF"/>
    <w:rsid w:val="007152BC"/>
    <w:rsid w:val="0073191B"/>
    <w:rsid w:val="00762BE5"/>
    <w:rsid w:val="007751B2"/>
    <w:rsid w:val="00782335"/>
    <w:rsid w:val="007826C5"/>
    <w:rsid w:val="007A14F0"/>
    <w:rsid w:val="007B175D"/>
    <w:rsid w:val="007B5B33"/>
    <w:rsid w:val="008971A6"/>
    <w:rsid w:val="008A0447"/>
    <w:rsid w:val="008B5BBE"/>
    <w:rsid w:val="008B7F4E"/>
    <w:rsid w:val="008C20C6"/>
    <w:rsid w:val="008D51E1"/>
    <w:rsid w:val="008E7CE9"/>
    <w:rsid w:val="0090286B"/>
    <w:rsid w:val="009053E5"/>
    <w:rsid w:val="00950A41"/>
    <w:rsid w:val="009612D0"/>
    <w:rsid w:val="00966CE1"/>
    <w:rsid w:val="00980B61"/>
    <w:rsid w:val="009A63D9"/>
    <w:rsid w:val="009C48C6"/>
    <w:rsid w:val="009D3E74"/>
    <w:rsid w:val="009F60F0"/>
    <w:rsid w:val="00A253BF"/>
    <w:rsid w:val="00A25FC1"/>
    <w:rsid w:val="00A27A07"/>
    <w:rsid w:val="00A3251B"/>
    <w:rsid w:val="00A475DF"/>
    <w:rsid w:val="00A508B5"/>
    <w:rsid w:val="00A52583"/>
    <w:rsid w:val="00A5658F"/>
    <w:rsid w:val="00A6434C"/>
    <w:rsid w:val="00A87B08"/>
    <w:rsid w:val="00AA746E"/>
    <w:rsid w:val="00AC4524"/>
    <w:rsid w:val="00AD0F93"/>
    <w:rsid w:val="00AE01C3"/>
    <w:rsid w:val="00AE2A47"/>
    <w:rsid w:val="00AE537B"/>
    <w:rsid w:val="00B27340"/>
    <w:rsid w:val="00B50568"/>
    <w:rsid w:val="00B52FE9"/>
    <w:rsid w:val="00B813BE"/>
    <w:rsid w:val="00B905CD"/>
    <w:rsid w:val="00BA5985"/>
    <w:rsid w:val="00BB5583"/>
    <w:rsid w:val="00BB6E8A"/>
    <w:rsid w:val="00BD2398"/>
    <w:rsid w:val="00C162C2"/>
    <w:rsid w:val="00C2790A"/>
    <w:rsid w:val="00C61F34"/>
    <w:rsid w:val="00C66204"/>
    <w:rsid w:val="00C85ECA"/>
    <w:rsid w:val="00CA6C1D"/>
    <w:rsid w:val="00CD1A06"/>
    <w:rsid w:val="00CD2DF0"/>
    <w:rsid w:val="00CF5676"/>
    <w:rsid w:val="00D134DC"/>
    <w:rsid w:val="00D23346"/>
    <w:rsid w:val="00D36807"/>
    <w:rsid w:val="00D4184E"/>
    <w:rsid w:val="00D87BF2"/>
    <w:rsid w:val="00D96C94"/>
    <w:rsid w:val="00DA43AE"/>
    <w:rsid w:val="00DA6883"/>
    <w:rsid w:val="00DB210D"/>
    <w:rsid w:val="00DC1DCF"/>
    <w:rsid w:val="00DF224A"/>
    <w:rsid w:val="00E50A0D"/>
    <w:rsid w:val="00E51005"/>
    <w:rsid w:val="00E567D8"/>
    <w:rsid w:val="00E6584B"/>
    <w:rsid w:val="00E821E4"/>
    <w:rsid w:val="00EA2957"/>
    <w:rsid w:val="00EB07E5"/>
    <w:rsid w:val="00ED740E"/>
    <w:rsid w:val="00EE5DD2"/>
    <w:rsid w:val="00EF2597"/>
    <w:rsid w:val="00F0452D"/>
    <w:rsid w:val="00F11A0E"/>
    <w:rsid w:val="00F12CFF"/>
    <w:rsid w:val="00F20707"/>
    <w:rsid w:val="00F212D6"/>
    <w:rsid w:val="00F32CB0"/>
    <w:rsid w:val="00F54D42"/>
    <w:rsid w:val="00F61A9D"/>
    <w:rsid w:val="00F671C9"/>
    <w:rsid w:val="00F91991"/>
    <w:rsid w:val="00F93AC7"/>
    <w:rsid w:val="00FA7D20"/>
    <w:rsid w:val="00FD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E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7AF"/>
  </w:style>
  <w:style w:type="paragraph" w:styleId="Footer">
    <w:name w:val="footer"/>
    <w:basedOn w:val="Normal"/>
    <w:link w:val="FooterChar"/>
    <w:uiPriority w:val="99"/>
    <w:unhideWhenUsed/>
    <w:rsid w:val="006D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7AF"/>
  </w:style>
  <w:style w:type="paragraph" w:styleId="BalloonText">
    <w:name w:val="Balloon Text"/>
    <w:basedOn w:val="Normal"/>
    <w:link w:val="BalloonTextChar"/>
    <w:uiPriority w:val="99"/>
    <w:semiHidden/>
    <w:unhideWhenUsed/>
    <w:rsid w:val="006D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E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7AF"/>
  </w:style>
  <w:style w:type="paragraph" w:styleId="Footer">
    <w:name w:val="footer"/>
    <w:basedOn w:val="Normal"/>
    <w:link w:val="FooterChar"/>
    <w:uiPriority w:val="99"/>
    <w:unhideWhenUsed/>
    <w:rsid w:val="006D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7AF"/>
  </w:style>
  <w:style w:type="paragraph" w:styleId="BalloonText">
    <w:name w:val="Balloon Text"/>
    <w:basedOn w:val="Normal"/>
    <w:link w:val="BalloonTextChar"/>
    <w:uiPriority w:val="99"/>
    <w:semiHidden/>
    <w:unhideWhenUsed/>
    <w:rsid w:val="006D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Conner Strong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mollendike</cp:lastModifiedBy>
  <cp:revision>2</cp:revision>
  <dcterms:created xsi:type="dcterms:W3CDTF">2013-06-06T14:23:00Z</dcterms:created>
  <dcterms:modified xsi:type="dcterms:W3CDTF">2013-06-06T14:23:00Z</dcterms:modified>
</cp:coreProperties>
</file>